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0F6" w:rsidRDefault="009C00F6" w:rsidP="009C00F6">
      <w:pPr>
        <w:spacing w:after="0" w:line="240" w:lineRule="auto"/>
        <w:outlineLvl w:val="0"/>
        <w:rPr>
          <w:rFonts w:ascii="Times New Roman" w:eastAsia="Times New Roman" w:hAnsi="Times New Roman" w:cs="Times New Roman"/>
          <w:b/>
          <w:bCs/>
          <w:kern w:val="36"/>
          <w:sz w:val="28"/>
          <w:szCs w:val="28"/>
          <w:lang w:eastAsia="ru-RU"/>
        </w:rPr>
      </w:pPr>
      <w:r w:rsidRPr="009C00F6">
        <w:rPr>
          <w:rFonts w:ascii="Times New Roman" w:eastAsia="Times New Roman" w:hAnsi="Times New Roman" w:cs="Times New Roman"/>
          <w:b/>
          <w:bCs/>
          <w:kern w:val="36"/>
          <w:sz w:val="28"/>
          <w:szCs w:val="28"/>
          <w:lang w:eastAsia="ru-RU"/>
        </w:rPr>
        <w:drawing>
          <wp:inline distT="0" distB="0" distL="0" distR="0">
            <wp:extent cx="2371725" cy="9810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371725" cy="981075"/>
                    </a:xfrm>
                    <a:prstGeom prst="rect">
                      <a:avLst/>
                    </a:prstGeom>
                    <a:noFill/>
                    <a:ln w="9525">
                      <a:noFill/>
                      <a:miter lim="800000"/>
                      <a:headEnd/>
                      <a:tailEnd/>
                    </a:ln>
                  </pic:spPr>
                </pic:pic>
              </a:graphicData>
            </a:graphic>
          </wp:inline>
        </w:drawing>
      </w:r>
    </w:p>
    <w:p w:rsidR="009C00F6" w:rsidRDefault="009C00F6" w:rsidP="009C00F6">
      <w:pPr>
        <w:spacing w:after="0" w:line="240" w:lineRule="auto"/>
        <w:jc w:val="center"/>
        <w:outlineLvl w:val="0"/>
        <w:rPr>
          <w:rFonts w:ascii="Times New Roman" w:eastAsia="Times New Roman" w:hAnsi="Times New Roman" w:cs="Times New Roman"/>
          <w:b/>
          <w:bCs/>
          <w:kern w:val="36"/>
          <w:sz w:val="28"/>
          <w:szCs w:val="28"/>
          <w:lang w:eastAsia="ru-RU"/>
        </w:rPr>
      </w:pPr>
    </w:p>
    <w:p w:rsidR="009C00F6" w:rsidRDefault="009C00F6" w:rsidP="009C00F6">
      <w:pPr>
        <w:spacing w:after="0" w:line="240" w:lineRule="auto"/>
        <w:jc w:val="center"/>
        <w:outlineLvl w:val="0"/>
        <w:rPr>
          <w:rFonts w:ascii="Times New Roman" w:eastAsia="Times New Roman" w:hAnsi="Times New Roman" w:cs="Times New Roman"/>
          <w:b/>
          <w:bCs/>
          <w:kern w:val="36"/>
          <w:sz w:val="28"/>
          <w:szCs w:val="28"/>
          <w:lang w:eastAsia="ru-RU"/>
        </w:rPr>
      </w:pPr>
    </w:p>
    <w:p w:rsidR="009C00F6" w:rsidRDefault="009C00F6" w:rsidP="009C00F6">
      <w:pPr>
        <w:spacing w:after="0" w:line="240" w:lineRule="auto"/>
        <w:jc w:val="center"/>
        <w:outlineLvl w:val="0"/>
        <w:rPr>
          <w:rFonts w:ascii="Times New Roman" w:eastAsia="Times New Roman" w:hAnsi="Times New Roman" w:cs="Times New Roman"/>
          <w:b/>
          <w:bCs/>
          <w:kern w:val="36"/>
          <w:sz w:val="28"/>
          <w:szCs w:val="28"/>
          <w:lang w:eastAsia="ru-RU"/>
        </w:rPr>
      </w:pPr>
      <w:r w:rsidRPr="009C00F6">
        <w:rPr>
          <w:rFonts w:ascii="Times New Roman" w:eastAsia="Times New Roman" w:hAnsi="Times New Roman" w:cs="Times New Roman"/>
          <w:b/>
          <w:bCs/>
          <w:kern w:val="36"/>
          <w:sz w:val="28"/>
          <w:szCs w:val="28"/>
          <w:lang w:eastAsia="ru-RU"/>
        </w:rPr>
        <w:t xml:space="preserve">Правительством РФ принято постановление, </w:t>
      </w:r>
    </w:p>
    <w:p w:rsidR="009C00F6" w:rsidRDefault="009C00F6" w:rsidP="009C00F6">
      <w:pPr>
        <w:spacing w:after="0" w:line="240" w:lineRule="auto"/>
        <w:jc w:val="center"/>
        <w:outlineLvl w:val="0"/>
        <w:rPr>
          <w:rFonts w:ascii="Times New Roman" w:eastAsia="Times New Roman" w:hAnsi="Times New Roman" w:cs="Times New Roman"/>
          <w:b/>
          <w:bCs/>
          <w:kern w:val="36"/>
          <w:sz w:val="28"/>
          <w:szCs w:val="28"/>
          <w:lang w:eastAsia="ru-RU"/>
        </w:rPr>
      </w:pPr>
      <w:proofErr w:type="gramStart"/>
      <w:r w:rsidRPr="009C00F6">
        <w:rPr>
          <w:rFonts w:ascii="Times New Roman" w:eastAsia="Times New Roman" w:hAnsi="Times New Roman" w:cs="Times New Roman"/>
          <w:b/>
          <w:bCs/>
          <w:kern w:val="36"/>
          <w:sz w:val="28"/>
          <w:szCs w:val="28"/>
          <w:lang w:eastAsia="ru-RU"/>
        </w:rPr>
        <w:t>которое</w:t>
      </w:r>
      <w:proofErr w:type="gramEnd"/>
      <w:r w:rsidRPr="009C00F6">
        <w:rPr>
          <w:rFonts w:ascii="Times New Roman" w:eastAsia="Times New Roman" w:hAnsi="Times New Roman" w:cs="Times New Roman"/>
          <w:b/>
          <w:bCs/>
          <w:kern w:val="36"/>
          <w:sz w:val="28"/>
          <w:szCs w:val="28"/>
          <w:lang w:eastAsia="ru-RU"/>
        </w:rPr>
        <w:t xml:space="preserve"> упростит порядок размещения линейных объектов</w:t>
      </w:r>
    </w:p>
    <w:p w:rsidR="009C00F6" w:rsidRDefault="009C00F6" w:rsidP="009C00F6">
      <w:pPr>
        <w:spacing w:after="0" w:line="240" w:lineRule="auto"/>
        <w:jc w:val="center"/>
        <w:outlineLvl w:val="0"/>
        <w:rPr>
          <w:rFonts w:ascii="Times New Roman" w:eastAsia="Times New Roman" w:hAnsi="Times New Roman" w:cs="Times New Roman"/>
          <w:b/>
          <w:bCs/>
          <w:kern w:val="36"/>
          <w:sz w:val="28"/>
          <w:szCs w:val="28"/>
          <w:lang w:eastAsia="ru-RU"/>
        </w:rPr>
      </w:pPr>
    </w:p>
    <w:p w:rsidR="009C00F6" w:rsidRPr="009C00F6" w:rsidRDefault="009C00F6" w:rsidP="009C00F6">
      <w:pPr>
        <w:spacing w:after="0" w:line="240" w:lineRule="auto"/>
        <w:outlineLvl w:val="0"/>
        <w:rPr>
          <w:rFonts w:ascii="Times New Roman" w:eastAsia="Times New Roman" w:hAnsi="Times New Roman" w:cs="Times New Roman"/>
          <w:b/>
          <w:bCs/>
          <w:kern w:val="36"/>
          <w:sz w:val="28"/>
          <w:szCs w:val="28"/>
          <w:lang w:eastAsia="ru-RU"/>
        </w:rPr>
      </w:pPr>
    </w:p>
    <w:p w:rsidR="009C00F6" w:rsidRPr="009C00F6" w:rsidRDefault="009C00F6" w:rsidP="009C00F6">
      <w:pPr>
        <w:spacing w:after="0" w:line="240" w:lineRule="auto"/>
        <w:ind w:firstLine="709"/>
        <w:jc w:val="both"/>
        <w:rPr>
          <w:rFonts w:ascii="Times New Roman" w:eastAsia="Times New Roman" w:hAnsi="Times New Roman" w:cs="Times New Roman"/>
          <w:sz w:val="28"/>
          <w:szCs w:val="28"/>
          <w:lang w:eastAsia="ru-RU"/>
        </w:rPr>
      </w:pPr>
      <w:r w:rsidRPr="009C00F6">
        <w:rPr>
          <w:rFonts w:ascii="Times New Roman" w:eastAsia="Times New Roman" w:hAnsi="Times New Roman" w:cs="Times New Roman"/>
          <w:sz w:val="28"/>
          <w:szCs w:val="28"/>
          <w:lang w:eastAsia="ru-RU"/>
        </w:rPr>
        <w:t>Правительством Российской Федерации принято разработанное Минстроем </w:t>
      </w:r>
      <w:hyperlink r:id="rId5" w:history="1">
        <w:r w:rsidRPr="009C00F6">
          <w:rPr>
            <w:rFonts w:ascii="Times New Roman" w:eastAsia="Times New Roman" w:hAnsi="Times New Roman" w:cs="Times New Roman"/>
            <w:sz w:val="28"/>
            <w:szCs w:val="28"/>
            <w:lang w:eastAsia="ru-RU"/>
          </w:rPr>
          <w:t>постановление</w:t>
        </w:r>
      </w:hyperlink>
      <w:r w:rsidRPr="009C00F6">
        <w:rPr>
          <w:rFonts w:ascii="Times New Roman" w:eastAsia="Times New Roman" w:hAnsi="Times New Roman" w:cs="Times New Roman"/>
          <w:sz w:val="28"/>
          <w:szCs w:val="28"/>
          <w:lang w:eastAsia="ru-RU"/>
        </w:rPr>
        <w:t> от 26 августа 2020 г. № 1285, которое направлено на совершенствование и упрощение порядка размещения линейных объектов (линии электропередачи, связи, трубопроводы, автодороги, железнодорожные линии и др.).</w:t>
      </w:r>
    </w:p>
    <w:p w:rsidR="009C00F6" w:rsidRPr="009C00F6" w:rsidRDefault="009C00F6" w:rsidP="009C00F6">
      <w:pPr>
        <w:spacing w:after="0" w:line="240" w:lineRule="auto"/>
        <w:ind w:firstLine="709"/>
        <w:jc w:val="both"/>
        <w:rPr>
          <w:rFonts w:ascii="Times New Roman" w:eastAsia="Times New Roman" w:hAnsi="Times New Roman" w:cs="Times New Roman"/>
          <w:sz w:val="28"/>
          <w:szCs w:val="28"/>
          <w:lang w:eastAsia="ru-RU"/>
        </w:rPr>
      </w:pPr>
      <w:r w:rsidRPr="009C00F6">
        <w:rPr>
          <w:rFonts w:ascii="Times New Roman" w:eastAsia="Times New Roman" w:hAnsi="Times New Roman" w:cs="Times New Roman"/>
          <w:sz w:val="28"/>
          <w:szCs w:val="28"/>
          <w:lang w:eastAsia="ru-RU"/>
        </w:rPr>
        <w:t>Постановлением вносятся изменения в Положение о составе и содержании проектов планировки территории, предусматривающих размещение одного или нескольких линейных объектов (утверждено постановлением Правительства РФ от 12 мая 2017 г. № 564).</w:t>
      </w:r>
    </w:p>
    <w:p w:rsidR="009C00F6" w:rsidRPr="009C00F6" w:rsidRDefault="009C00F6" w:rsidP="009C00F6">
      <w:pPr>
        <w:spacing w:after="0" w:line="240" w:lineRule="auto"/>
        <w:ind w:firstLine="709"/>
        <w:jc w:val="both"/>
        <w:rPr>
          <w:rFonts w:ascii="Times New Roman" w:eastAsia="Times New Roman" w:hAnsi="Times New Roman" w:cs="Times New Roman"/>
          <w:sz w:val="28"/>
          <w:szCs w:val="28"/>
          <w:lang w:eastAsia="ru-RU"/>
        </w:rPr>
      </w:pPr>
      <w:r w:rsidRPr="009C00F6">
        <w:rPr>
          <w:rFonts w:ascii="Times New Roman" w:eastAsia="Times New Roman" w:hAnsi="Times New Roman" w:cs="Times New Roman"/>
          <w:sz w:val="28"/>
          <w:szCs w:val="28"/>
          <w:lang w:eastAsia="ru-RU"/>
        </w:rPr>
        <w:t>Изменения в первую очередь касаются организаций, осуществляющих строительство линейных объектов, а также органов государственной власти и местного самоуправления.</w:t>
      </w:r>
    </w:p>
    <w:p w:rsidR="009C00F6" w:rsidRPr="009C00F6" w:rsidRDefault="009C00F6" w:rsidP="009C00F6">
      <w:pPr>
        <w:spacing w:after="0" w:line="240" w:lineRule="auto"/>
        <w:ind w:firstLine="709"/>
        <w:jc w:val="both"/>
        <w:rPr>
          <w:rFonts w:ascii="Times New Roman" w:eastAsia="Times New Roman" w:hAnsi="Times New Roman" w:cs="Times New Roman"/>
          <w:sz w:val="28"/>
          <w:szCs w:val="28"/>
          <w:lang w:eastAsia="ru-RU"/>
        </w:rPr>
      </w:pPr>
      <w:r w:rsidRPr="009C00F6">
        <w:rPr>
          <w:rFonts w:ascii="Times New Roman" w:eastAsia="Times New Roman" w:hAnsi="Times New Roman" w:cs="Times New Roman"/>
          <w:sz w:val="28"/>
          <w:szCs w:val="28"/>
          <w:lang w:eastAsia="ru-RU"/>
        </w:rPr>
        <w:t>По общему правилу виды разрешенного использования земельных участков устанавливаются в соответствии с градостроительным регламентом. Однако установление, изменение видов разрешенного использования земельных участков, на которые действие градостроительных регламентов не распространяется (границы общего пользования, предназначенные для размещения линейных объектов или добычи полезных ископаемых), на комплексной основе в законе не урегулировано.</w:t>
      </w:r>
    </w:p>
    <w:p w:rsidR="009C00F6" w:rsidRDefault="009C00F6" w:rsidP="009C00F6">
      <w:pPr>
        <w:spacing w:after="0" w:line="240" w:lineRule="auto"/>
        <w:ind w:firstLine="709"/>
        <w:jc w:val="both"/>
        <w:rPr>
          <w:rFonts w:ascii="Times New Roman" w:eastAsia="Times New Roman" w:hAnsi="Times New Roman" w:cs="Times New Roman"/>
          <w:sz w:val="28"/>
          <w:szCs w:val="28"/>
          <w:lang w:eastAsia="ru-RU"/>
        </w:rPr>
      </w:pPr>
      <w:r w:rsidRPr="009C00F6">
        <w:rPr>
          <w:rFonts w:ascii="Times New Roman" w:eastAsia="Times New Roman" w:hAnsi="Times New Roman" w:cs="Times New Roman"/>
          <w:sz w:val="28"/>
          <w:szCs w:val="28"/>
          <w:lang w:eastAsia="ru-RU"/>
        </w:rPr>
        <w:t xml:space="preserve">Принятое постановление позволило установить порядок изменения видов разрешенного использования земельных участков, предназначенных для размещения линейных объектов. Так, теперь в отношении образуемых земельных участков, предназначенных для размещения линейных объектов, установление и изменение видов разрешенного </w:t>
      </w:r>
      <w:proofErr w:type="gramStart"/>
      <w:r w:rsidRPr="009C00F6">
        <w:rPr>
          <w:rFonts w:ascii="Times New Roman" w:eastAsia="Times New Roman" w:hAnsi="Times New Roman" w:cs="Times New Roman"/>
          <w:sz w:val="28"/>
          <w:szCs w:val="28"/>
          <w:lang w:eastAsia="ru-RU"/>
        </w:rPr>
        <w:t>использования</w:t>
      </w:r>
      <w:proofErr w:type="gramEnd"/>
      <w:r w:rsidRPr="009C00F6">
        <w:rPr>
          <w:rFonts w:ascii="Times New Roman" w:eastAsia="Times New Roman" w:hAnsi="Times New Roman" w:cs="Times New Roman"/>
          <w:sz w:val="28"/>
          <w:szCs w:val="28"/>
          <w:lang w:eastAsia="ru-RU"/>
        </w:rPr>
        <w:t xml:space="preserve"> и внесение сведений о них в ЕГРН возможно в соответствии с утвержденным проектом межевания территории (готовится в составе проекта планировки территории). </w:t>
      </w:r>
    </w:p>
    <w:p w:rsidR="009C00F6" w:rsidRDefault="009C00F6" w:rsidP="009C00F6">
      <w:pPr>
        <w:spacing w:after="0" w:line="240" w:lineRule="auto"/>
        <w:ind w:firstLine="709"/>
        <w:jc w:val="both"/>
        <w:rPr>
          <w:rFonts w:ascii="Times New Roman" w:eastAsia="Times New Roman" w:hAnsi="Times New Roman" w:cs="Times New Roman"/>
          <w:sz w:val="28"/>
          <w:szCs w:val="28"/>
          <w:lang w:eastAsia="ru-RU"/>
        </w:rPr>
      </w:pPr>
    </w:p>
    <w:p w:rsidR="009C00F6" w:rsidRDefault="009C00F6" w:rsidP="009C00F6">
      <w:pPr>
        <w:spacing w:after="0" w:line="240" w:lineRule="auto"/>
        <w:ind w:firstLine="709"/>
        <w:jc w:val="both"/>
        <w:rPr>
          <w:rFonts w:ascii="Times New Roman" w:eastAsia="Times New Roman" w:hAnsi="Times New Roman" w:cs="Times New Roman"/>
          <w:sz w:val="28"/>
          <w:szCs w:val="28"/>
          <w:lang w:eastAsia="ru-RU"/>
        </w:rPr>
      </w:pPr>
    </w:p>
    <w:p w:rsidR="009C00F6" w:rsidRPr="009C00F6" w:rsidRDefault="009C00F6" w:rsidP="009C00F6">
      <w:pPr>
        <w:spacing w:after="0" w:line="240" w:lineRule="auto"/>
        <w:ind w:firstLine="709"/>
        <w:jc w:val="both"/>
        <w:rPr>
          <w:rFonts w:ascii="Times New Roman" w:eastAsia="Times New Roman" w:hAnsi="Times New Roman" w:cs="Times New Roman"/>
          <w:sz w:val="28"/>
          <w:szCs w:val="28"/>
          <w:lang w:eastAsia="ru-RU"/>
        </w:rPr>
      </w:pPr>
    </w:p>
    <w:p w:rsidR="009C00F6" w:rsidRPr="00AC094C" w:rsidRDefault="009C00F6" w:rsidP="009C00F6">
      <w:pPr>
        <w:spacing w:after="0" w:line="240" w:lineRule="auto"/>
        <w:ind w:firstLine="709"/>
        <w:jc w:val="right"/>
        <w:rPr>
          <w:rFonts w:ascii="Times New Roman" w:hAnsi="Times New Roman" w:cs="Times New Roman"/>
          <w:sz w:val="28"/>
          <w:szCs w:val="28"/>
        </w:rPr>
      </w:pPr>
      <w:r w:rsidRPr="00AC094C">
        <w:rPr>
          <w:rFonts w:ascii="Times New Roman" w:hAnsi="Times New Roman" w:cs="Times New Roman"/>
          <w:sz w:val="28"/>
          <w:szCs w:val="28"/>
        </w:rPr>
        <w:t>Управление Федеральной службы</w:t>
      </w:r>
    </w:p>
    <w:p w:rsidR="009C00F6" w:rsidRPr="00AC094C" w:rsidRDefault="009C00F6" w:rsidP="009C00F6">
      <w:pPr>
        <w:spacing w:after="0" w:line="240" w:lineRule="auto"/>
        <w:ind w:firstLine="708"/>
        <w:jc w:val="right"/>
        <w:rPr>
          <w:rFonts w:ascii="Times New Roman" w:hAnsi="Times New Roman" w:cs="Times New Roman"/>
          <w:sz w:val="28"/>
          <w:szCs w:val="28"/>
        </w:rPr>
      </w:pPr>
      <w:r w:rsidRPr="00AC094C">
        <w:rPr>
          <w:rFonts w:ascii="Times New Roman" w:hAnsi="Times New Roman" w:cs="Times New Roman"/>
          <w:sz w:val="28"/>
          <w:szCs w:val="28"/>
        </w:rPr>
        <w:t xml:space="preserve">   государственной регистрации, кадастра и картографии  по Республике Алтай</w:t>
      </w:r>
    </w:p>
    <w:p w:rsidR="009D4FE2" w:rsidRDefault="009D4FE2"/>
    <w:sectPr w:rsidR="009D4FE2" w:rsidSect="009C00F6">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C00F6"/>
    <w:rsid w:val="00002802"/>
    <w:rsid w:val="00010282"/>
    <w:rsid w:val="0001216F"/>
    <w:rsid w:val="00012952"/>
    <w:rsid w:val="00012EE6"/>
    <w:rsid w:val="00030989"/>
    <w:rsid w:val="00031123"/>
    <w:rsid w:val="000343A4"/>
    <w:rsid w:val="00043265"/>
    <w:rsid w:val="000433D4"/>
    <w:rsid w:val="000612A1"/>
    <w:rsid w:val="00062EE5"/>
    <w:rsid w:val="000807AE"/>
    <w:rsid w:val="00085A84"/>
    <w:rsid w:val="00087835"/>
    <w:rsid w:val="00094385"/>
    <w:rsid w:val="000A7314"/>
    <w:rsid w:val="000B2AA1"/>
    <w:rsid w:val="000C0615"/>
    <w:rsid w:val="000C258B"/>
    <w:rsid w:val="000C324C"/>
    <w:rsid w:val="000D762C"/>
    <w:rsid w:val="000E261D"/>
    <w:rsid w:val="000E71F6"/>
    <w:rsid w:val="000F24E1"/>
    <w:rsid w:val="000F7D70"/>
    <w:rsid w:val="001147B1"/>
    <w:rsid w:val="00133CD5"/>
    <w:rsid w:val="00135169"/>
    <w:rsid w:val="00142978"/>
    <w:rsid w:val="001551D1"/>
    <w:rsid w:val="00165FBB"/>
    <w:rsid w:val="001730D0"/>
    <w:rsid w:val="001772A2"/>
    <w:rsid w:val="00194B68"/>
    <w:rsid w:val="001B6B23"/>
    <w:rsid w:val="001C1B94"/>
    <w:rsid w:val="001C3A92"/>
    <w:rsid w:val="001C4CF9"/>
    <w:rsid w:val="001D289C"/>
    <w:rsid w:val="001D7EC9"/>
    <w:rsid w:val="001E3CBB"/>
    <w:rsid w:val="001E6419"/>
    <w:rsid w:val="002121AF"/>
    <w:rsid w:val="00214E56"/>
    <w:rsid w:val="00235A96"/>
    <w:rsid w:val="002438CB"/>
    <w:rsid w:val="002624B0"/>
    <w:rsid w:val="00270110"/>
    <w:rsid w:val="002B06AB"/>
    <w:rsid w:val="002B2EF1"/>
    <w:rsid w:val="002C19E2"/>
    <w:rsid w:val="002C4697"/>
    <w:rsid w:val="002C6673"/>
    <w:rsid w:val="002C78F9"/>
    <w:rsid w:val="002D0390"/>
    <w:rsid w:val="002E2F16"/>
    <w:rsid w:val="002F735D"/>
    <w:rsid w:val="00300C14"/>
    <w:rsid w:val="00300D71"/>
    <w:rsid w:val="003059E8"/>
    <w:rsid w:val="003219FD"/>
    <w:rsid w:val="00323145"/>
    <w:rsid w:val="003336F6"/>
    <w:rsid w:val="00334596"/>
    <w:rsid w:val="00341FE1"/>
    <w:rsid w:val="0034369F"/>
    <w:rsid w:val="003725D9"/>
    <w:rsid w:val="00377965"/>
    <w:rsid w:val="003804EB"/>
    <w:rsid w:val="003905A3"/>
    <w:rsid w:val="0039214B"/>
    <w:rsid w:val="0039724A"/>
    <w:rsid w:val="003A3442"/>
    <w:rsid w:val="003B3B50"/>
    <w:rsid w:val="003C72E8"/>
    <w:rsid w:val="003D278A"/>
    <w:rsid w:val="003D7D7B"/>
    <w:rsid w:val="003E3EF2"/>
    <w:rsid w:val="00401A7C"/>
    <w:rsid w:val="004066BF"/>
    <w:rsid w:val="0041138F"/>
    <w:rsid w:val="00413739"/>
    <w:rsid w:val="004147AB"/>
    <w:rsid w:val="00424BAE"/>
    <w:rsid w:val="00431CBD"/>
    <w:rsid w:val="00432E37"/>
    <w:rsid w:val="00464FA0"/>
    <w:rsid w:val="00487452"/>
    <w:rsid w:val="00495AAC"/>
    <w:rsid w:val="004A1856"/>
    <w:rsid w:val="004B255D"/>
    <w:rsid w:val="004B7EAC"/>
    <w:rsid w:val="004C114C"/>
    <w:rsid w:val="004D08DD"/>
    <w:rsid w:val="004D15A8"/>
    <w:rsid w:val="004F7A82"/>
    <w:rsid w:val="00500388"/>
    <w:rsid w:val="0050694E"/>
    <w:rsid w:val="00506C33"/>
    <w:rsid w:val="00507C13"/>
    <w:rsid w:val="00511423"/>
    <w:rsid w:val="00511789"/>
    <w:rsid w:val="0051797F"/>
    <w:rsid w:val="00521158"/>
    <w:rsid w:val="00535CB3"/>
    <w:rsid w:val="00541C08"/>
    <w:rsid w:val="00543CED"/>
    <w:rsid w:val="0054431A"/>
    <w:rsid w:val="00552DAC"/>
    <w:rsid w:val="005632CA"/>
    <w:rsid w:val="0056392F"/>
    <w:rsid w:val="005653AA"/>
    <w:rsid w:val="00596A41"/>
    <w:rsid w:val="005A3F18"/>
    <w:rsid w:val="005B611F"/>
    <w:rsid w:val="005C0457"/>
    <w:rsid w:val="005C0D4D"/>
    <w:rsid w:val="005C776D"/>
    <w:rsid w:val="005E3541"/>
    <w:rsid w:val="005F2DFC"/>
    <w:rsid w:val="005F39E5"/>
    <w:rsid w:val="00603B8D"/>
    <w:rsid w:val="006067FC"/>
    <w:rsid w:val="00611111"/>
    <w:rsid w:val="00611898"/>
    <w:rsid w:val="0062100B"/>
    <w:rsid w:val="00622E95"/>
    <w:rsid w:val="00623E11"/>
    <w:rsid w:val="00631BE2"/>
    <w:rsid w:val="00663E82"/>
    <w:rsid w:val="00676EB7"/>
    <w:rsid w:val="00682046"/>
    <w:rsid w:val="0068694B"/>
    <w:rsid w:val="006A03E2"/>
    <w:rsid w:val="006A071A"/>
    <w:rsid w:val="006A1D0B"/>
    <w:rsid w:val="006B2DE0"/>
    <w:rsid w:val="006B649C"/>
    <w:rsid w:val="006C2A01"/>
    <w:rsid w:val="006C37D3"/>
    <w:rsid w:val="006D02B6"/>
    <w:rsid w:val="006D65B5"/>
    <w:rsid w:val="006D7CB5"/>
    <w:rsid w:val="006E1B8C"/>
    <w:rsid w:val="006E3EB6"/>
    <w:rsid w:val="00701D15"/>
    <w:rsid w:val="00716A03"/>
    <w:rsid w:val="00720FF9"/>
    <w:rsid w:val="00723173"/>
    <w:rsid w:val="00727F39"/>
    <w:rsid w:val="00731120"/>
    <w:rsid w:val="00747477"/>
    <w:rsid w:val="00752DF6"/>
    <w:rsid w:val="007616A2"/>
    <w:rsid w:val="007642B6"/>
    <w:rsid w:val="007767A5"/>
    <w:rsid w:val="00777D10"/>
    <w:rsid w:val="00784C07"/>
    <w:rsid w:val="007920A8"/>
    <w:rsid w:val="00792B25"/>
    <w:rsid w:val="007A21AD"/>
    <w:rsid w:val="007A3180"/>
    <w:rsid w:val="007B2A62"/>
    <w:rsid w:val="007C1120"/>
    <w:rsid w:val="007D52C4"/>
    <w:rsid w:val="007E06E2"/>
    <w:rsid w:val="007E1BE5"/>
    <w:rsid w:val="007E4CCE"/>
    <w:rsid w:val="007F6C33"/>
    <w:rsid w:val="0081030A"/>
    <w:rsid w:val="00814551"/>
    <w:rsid w:val="00817F02"/>
    <w:rsid w:val="0082017C"/>
    <w:rsid w:val="00824620"/>
    <w:rsid w:val="008275A9"/>
    <w:rsid w:val="00830AA7"/>
    <w:rsid w:val="00841D7F"/>
    <w:rsid w:val="008476EE"/>
    <w:rsid w:val="008541EF"/>
    <w:rsid w:val="0085520D"/>
    <w:rsid w:val="0085524F"/>
    <w:rsid w:val="00870F4E"/>
    <w:rsid w:val="008734DC"/>
    <w:rsid w:val="00876CCC"/>
    <w:rsid w:val="00881FCC"/>
    <w:rsid w:val="00882B94"/>
    <w:rsid w:val="008B6617"/>
    <w:rsid w:val="008D3BBA"/>
    <w:rsid w:val="008E4520"/>
    <w:rsid w:val="008E486B"/>
    <w:rsid w:val="008E7AC1"/>
    <w:rsid w:val="008E7F2F"/>
    <w:rsid w:val="008F35E4"/>
    <w:rsid w:val="008F36FD"/>
    <w:rsid w:val="008F6E5A"/>
    <w:rsid w:val="00911D9F"/>
    <w:rsid w:val="00922600"/>
    <w:rsid w:val="00927FE3"/>
    <w:rsid w:val="009348DE"/>
    <w:rsid w:val="0095484F"/>
    <w:rsid w:val="00961367"/>
    <w:rsid w:val="00963273"/>
    <w:rsid w:val="00963505"/>
    <w:rsid w:val="009769DA"/>
    <w:rsid w:val="009827FF"/>
    <w:rsid w:val="0098549A"/>
    <w:rsid w:val="00992E65"/>
    <w:rsid w:val="009937E2"/>
    <w:rsid w:val="00993D38"/>
    <w:rsid w:val="009A32BD"/>
    <w:rsid w:val="009A3412"/>
    <w:rsid w:val="009A58A1"/>
    <w:rsid w:val="009C00F6"/>
    <w:rsid w:val="009C165F"/>
    <w:rsid w:val="009C47BD"/>
    <w:rsid w:val="009C6BC2"/>
    <w:rsid w:val="009D4FE2"/>
    <w:rsid w:val="009D6C76"/>
    <w:rsid w:val="009D7884"/>
    <w:rsid w:val="009E51E3"/>
    <w:rsid w:val="009E7ED5"/>
    <w:rsid w:val="009F4374"/>
    <w:rsid w:val="009F7FC7"/>
    <w:rsid w:val="00A003D8"/>
    <w:rsid w:val="00A07007"/>
    <w:rsid w:val="00A31A4B"/>
    <w:rsid w:val="00A70A38"/>
    <w:rsid w:val="00A81D7A"/>
    <w:rsid w:val="00A827DB"/>
    <w:rsid w:val="00A829E4"/>
    <w:rsid w:val="00A8641A"/>
    <w:rsid w:val="00A94314"/>
    <w:rsid w:val="00AA117C"/>
    <w:rsid w:val="00AB1650"/>
    <w:rsid w:val="00AB61F3"/>
    <w:rsid w:val="00AC01E0"/>
    <w:rsid w:val="00AC48CC"/>
    <w:rsid w:val="00AD3782"/>
    <w:rsid w:val="00B03354"/>
    <w:rsid w:val="00B03F5D"/>
    <w:rsid w:val="00B0777A"/>
    <w:rsid w:val="00B13478"/>
    <w:rsid w:val="00B35517"/>
    <w:rsid w:val="00B41245"/>
    <w:rsid w:val="00B42402"/>
    <w:rsid w:val="00B508A3"/>
    <w:rsid w:val="00B52C9E"/>
    <w:rsid w:val="00B62B41"/>
    <w:rsid w:val="00B63C8F"/>
    <w:rsid w:val="00B6605B"/>
    <w:rsid w:val="00B71313"/>
    <w:rsid w:val="00B76BDE"/>
    <w:rsid w:val="00B83A78"/>
    <w:rsid w:val="00B87D41"/>
    <w:rsid w:val="00BA75C0"/>
    <w:rsid w:val="00BB0583"/>
    <w:rsid w:val="00BB1CB3"/>
    <w:rsid w:val="00BB5A37"/>
    <w:rsid w:val="00BD2A89"/>
    <w:rsid w:val="00BF1C92"/>
    <w:rsid w:val="00BF3C5A"/>
    <w:rsid w:val="00C015CD"/>
    <w:rsid w:val="00C2433A"/>
    <w:rsid w:val="00C24F69"/>
    <w:rsid w:val="00C30458"/>
    <w:rsid w:val="00C30E23"/>
    <w:rsid w:val="00C32562"/>
    <w:rsid w:val="00C37922"/>
    <w:rsid w:val="00C448FF"/>
    <w:rsid w:val="00C55742"/>
    <w:rsid w:val="00C56529"/>
    <w:rsid w:val="00C668CA"/>
    <w:rsid w:val="00C669BA"/>
    <w:rsid w:val="00CB32A3"/>
    <w:rsid w:val="00CB376F"/>
    <w:rsid w:val="00CB503A"/>
    <w:rsid w:val="00CC469F"/>
    <w:rsid w:val="00CC46DA"/>
    <w:rsid w:val="00CD1165"/>
    <w:rsid w:val="00CE7F86"/>
    <w:rsid w:val="00CF40F1"/>
    <w:rsid w:val="00D019DC"/>
    <w:rsid w:val="00D03A5B"/>
    <w:rsid w:val="00D17399"/>
    <w:rsid w:val="00D17C02"/>
    <w:rsid w:val="00D24A71"/>
    <w:rsid w:val="00D253EC"/>
    <w:rsid w:val="00D2641A"/>
    <w:rsid w:val="00D2682C"/>
    <w:rsid w:val="00D374A8"/>
    <w:rsid w:val="00D43C7A"/>
    <w:rsid w:val="00D4453B"/>
    <w:rsid w:val="00D54B87"/>
    <w:rsid w:val="00D60BD8"/>
    <w:rsid w:val="00D61AD6"/>
    <w:rsid w:val="00D64CB4"/>
    <w:rsid w:val="00D65C3C"/>
    <w:rsid w:val="00D7718E"/>
    <w:rsid w:val="00D82796"/>
    <w:rsid w:val="00D9214A"/>
    <w:rsid w:val="00DB1E3D"/>
    <w:rsid w:val="00DB4828"/>
    <w:rsid w:val="00DC59E7"/>
    <w:rsid w:val="00DD09CE"/>
    <w:rsid w:val="00DD3A11"/>
    <w:rsid w:val="00DD3E25"/>
    <w:rsid w:val="00DE1EDA"/>
    <w:rsid w:val="00DE4E98"/>
    <w:rsid w:val="00DE5ABA"/>
    <w:rsid w:val="00DF4EFA"/>
    <w:rsid w:val="00E1214C"/>
    <w:rsid w:val="00E136D1"/>
    <w:rsid w:val="00E149DE"/>
    <w:rsid w:val="00E27C4C"/>
    <w:rsid w:val="00E3522C"/>
    <w:rsid w:val="00E40A90"/>
    <w:rsid w:val="00E41FEC"/>
    <w:rsid w:val="00E46943"/>
    <w:rsid w:val="00E52EAE"/>
    <w:rsid w:val="00E5437D"/>
    <w:rsid w:val="00E60F10"/>
    <w:rsid w:val="00E6359A"/>
    <w:rsid w:val="00E64C6C"/>
    <w:rsid w:val="00E66895"/>
    <w:rsid w:val="00E72434"/>
    <w:rsid w:val="00E74397"/>
    <w:rsid w:val="00E75B23"/>
    <w:rsid w:val="00EB4C5C"/>
    <w:rsid w:val="00EB7250"/>
    <w:rsid w:val="00EB7AF1"/>
    <w:rsid w:val="00ED60B3"/>
    <w:rsid w:val="00EE704C"/>
    <w:rsid w:val="00EF1A6B"/>
    <w:rsid w:val="00F122C5"/>
    <w:rsid w:val="00F12615"/>
    <w:rsid w:val="00F2359C"/>
    <w:rsid w:val="00F3435E"/>
    <w:rsid w:val="00F36CC0"/>
    <w:rsid w:val="00F375BF"/>
    <w:rsid w:val="00F40DC7"/>
    <w:rsid w:val="00F44C10"/>
    <w:rsid w:val="00F57BCA"/>
    <w:rsid w:val="00F642B0"/>
    <w:rsid w:val="00F6616E"/>
    <w:rsid w:val="00F73751"/>
    <w:rsid w:val="00F8144E"/>
    <w:rsid w:val="00FA195E"/>
    <w:rsid w:val="00FA54A3"/>
    <w:rsid w:val="00FB648F"/>
    <w:rsid w:val="00FC1156"/>
    <w:rsid w:val="00FC143D"/>
    <w:rsid w:val="00FC267B"/>
    <w:rsid w:val="00FC36C8"/>
    <w:rsid w:val="00FD73B4"/>
    <w:rsid w:val="00FD7DA6"/>
    <w:rsid w:val="00FF2322"/>
    <w:rsid w:val="00FF2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E2"/>
  </w:style>
  <w:style w:type="paragraph" w:styleId="1">
    <w:name w:val="heading 1"/>
    <w:basedOn w:val="a"/>
    <w:link w:val="10"/>
    <w:uiPriority w:val="9"/>
    <w:qFormat/>
    <w:rsid w:val="009C00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00F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C00F6"/>
    <w:rPr>
      <w:color w:val="0000FF"/>
      <w:u w:val="single"/>
    </w:rPr>
  </w:style>
  <w:style w:type="paragraph" w:styleId="a4">
    <w:name w:val="Normal (Web)"/>
    <w:basedOn w:val="a"/>
    <w:uiPriority w:val="99"/>
    <w:semiHidden/>
    <w:unhideWhenUsed/>
    <w:rsid w:val="009C00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C00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00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9171754">
      <w:bodyDiv w:val="1"/>
      <w:marLeft w:val="0"/>
      <w:marRight w:val="0"/>
      <w:marTop w:val="0"/>
      <w:marBottom w:val="0"/>
      <w:divBdr>
        <w:top w:val="none" w:sz="0" w:space="0" w:color="auto"/>
        <w:left w:val="none" w:sz="0" w:space="0" w:color="auto"/>
        <w:bottom w:val="none" w:sz="0" w:space="0" w:color="auto"/>
        <w:right w:val="none" w:sz="0" w:space="0" w:color="auto"/>
      </w:divBdr>
      <w:divsChild>
        <w:div w:id="1022559620">
          <w:marLeft w:val="0"/>
          <w:marRight w:val="0"/>
          <w:marTop w:val="0"/>
          <w:marBottom w:val="0"/>
          <w:divBdr>
            <w:top w:val="none" w:sz="0" w:space="0" w:color="auto"/>
            <w:left w:val="none" w:sz="0" w:space="0" w:color="auto"/>
            <w:bottom w:val="none" w:sz="0" w:space="0" w:color="auto"/>
            <w:right w:val="none" w:sz="0" w:space="0" w:color="auto"/>
          </w:divBdr>
          <w:divsChild>
            <w:div w:id="1909265548">
              <w:marLeft w:val="0"/>
              <w:marRight w:val="0"/>
              <w:marTop w:val="0"/>
              <w:marBottom w:val="0"/>
              <w:divBdr>
                <w:top w:val="none" w:sz="0" w:space="0" w:color="auto"/>
                <w:left w:val="none" w:sz="0" w:space="0" w:color="auto"/>
                <w:bottom w:val="none" w:sz="0" w:space="0" w:color="auto"/>
                <w:right w:val="none" w:sz="0" w:space="0" w:color="auto"/>
              </w:divBdr>
              <w:divsChild>
                <w:div w:id="957219032">
                  <w:marLeft w:val="0"/>
                  <w:marRight w:val="0"/>
                  <w:marTop w:val="0"/>
                  <w:marBottom w:val="0"/>
                  <w:divBdr>
                    <w:top w:val="none" w:sz="0" w:space="0" w:color="auto"/>
                    <w:left w:val="none" w:sz="0" w:space="0" w:color="auto"/>
                    <w:bottom w:val="none" w:sz="0" w:space="0" w:color="auto"/>
                    <w:right w:val="none" w:sz="0" w:space="0" w:color="auto"/>
                  </w:divBdr>
                </w:div>
                <w:div w:id="1664969948">
                  <w:marLeft w:val="0"/>
                  <w:marRight w:val="0"/>
                  <w:marTop w:val="0"/>
                  <w:marBottom w:val="0"/>
                  <w:divBdr>
                    <w:top w:val="none" w:sz="0" w:space="0" w:color="auto"/>
                    <w:left w:val="none" w:sz="0" w:space="0" w:color="auto"/>
                    <w:bottom w:val="none" w:sz="0" w:space="0" w:color="auto"/>
                    <w:right w:val="none" w:sz="0" w:space="0" w:color="auto"/>
                  </w:divBdr>
                </w:div>
                <w:div w:id="147386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ublication.pravo.gov.ru/Document/View/0001202008310013?index=0&amp;rangeSize=1"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Напалкова</dc:creator>
  <cp:keywords/>
  <dc:description/>
  <cp:lastModifiedBy>Напалкова</cp:lastModifiedBy>
  <cp:revision>2</cp:revision>
  <cp:lastPrinted>2020-10-01T03:06:00Z</cp:lastPrinted>
  <dcterms:created xsi:type="dcterms:W3CDTF">2020-10-01T03:02:00Z</dcterms:created>
  <dcterms:modified xsi:type="dcterms:W3CDTF">2020-10-01T03:06:00Z</dcterms:modified>
</cp:coreProperties>
</file>